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36BE0" w14:textId="77777777" w:rsidR="00390A85" w:rsidRDefault="00000000">
      <w:pPr>
        <w:jc w:val="center"/>
        <w:rPr>
          <w:rFonts w:ascii="Arial" w:hAnsi="Arial" w:cs="Arial"/>
        </w:rPr>
      </w:pPr>
      <w:r>
        <w:rPr>
          <w:rFonts w:ascii="Arial" w:hAnsi="Arial" w:cs="Arial"/>
        </w:rPr>
        <w:t>Stamford Bridge Pre-school</w:t>
      </w:r>
    </w:p>
    <w:p w14:paraId="155E4D4A" w14:textId="77777777" w:rsidR="00390A85" w:rsidRDefault="00000000">
      <w:pPr>
        <w:jc w:val="center"/>
        <w:rPr>
          <w:rFonts w:ascii="Arial" w:hAnsi="Arial" w:cs="Arial"/>
          <w:b/>
          <w:sz w:val="28"/>
          <w:szCs w:val="28"/>
        </w:rPr>
      </w:pPr>
      <w:r>
        <w:rPr>
          <w:rFonts w:ascii="Arial" w:hAnsi="Arial" w:cs="Arial"/>
          <w:b/>
          <w:sz w:val="28"/>
          <w:szCs w:val="28"/>
        </w:rPr>
        <w:t>HEALTH &amp; SICKNESS POLICY</w:t>
      </w:r>
    </w:p>
    <w:p w14:paraId="5DC7CC59" w14:textId="54D45466" w:rsidR="00390A85" w:rsidRDefault="00000000">
      <w:pPr>
        <w:rPr>
          <w:rFonts w:ascii="Arial" w:hAnsi="Arial" w:cs="Arial"/>
          <w:i/>
        </w:rPr>
      </w:pPr>
      <w:r>
        <w:rPr>
          <w:rFonts w:ascii="Arial" w:hAnsi="Arial" w:cs="Arial"/>
        </w:rPr>
        <w:t xml:space="preserve">The Pre-school seeks to promote and encourage good health and hygiene for all the children and staff accessing the provision.  If a child has any infectious disease we request parents inform us of this.  Exclusion periods for childhood illnesses vary, the below table illustrates the incubation period and exclusion periods for the most common childhood illnesses.  It should be said that if there is an outbreak of an illness at the Pre-school these exclusion periods may be extended to protect other children and staff where appropriate, the information on this list is informed by </w:t>
      </w:r>
      <w:r w:rsidR="00317D12">
        <w:rPr>
          <w:rFonts w:ascii="Arial" w:hAnsi="Arial" w:cs="Arial"/>
          <w:i/>
        </w:rPr>
        <w:t>UKHSA ‘Guidance on exclusions &amp; infection control’.</w:t>
      </w:r>
    </w:p>
    <w:p w14:paraId="54F76293" w14:textId="77777777" w:rsidR="00390A85" w:rsidRDefault="00000000">
      <w:pPr>
        <w:rPr>
          <w:rFonts w:ascii="Arial" w:hAnsi="Arial" w:cs="Arial"/>
        </w:rPr>
      </w:pPr>
      <w:r>
        <w:rPr>
          <w:rFonts w:ascii="Arial" w:hAnsi="Arial" w:cs="Arial"/>
        </w:rPr>
        <w:t>If in doubt as to whether your child is well enough to attend, please seek advice from the Pre-school Manager or your GP.  If a child is visibly under the weather it may be wise to allow your child a day at home to rest.</w:t>
      </w:r>
    </w:p>
    <w:p w14:paraId="318D7EFD" w14:textId="77777777" w:rsidR="00390A85" w:rsidRDefault="00000000">
      <w:pPr>
        <w:rPr>
          <w:rFonts w:ascii="Arial" w:hAnsi="Arial" w:cs="Arial"/>
        </w:rPr>
      </w:pPr>
      <w:r>
        <w:rPr>
          <w:rFonts w:ascii="Arial" w:hAnsi="Arial" w:cs="Arial"/>
        </w:rPr>
        <w:t>Children taking antibiotics should not attend until 24 hours after treatment has commenced and then only if they are actually getting better.</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2146"/>
        <w:gridCol w:w="3925"/>
        <w:gridCol w:w="4617"/>
      </w:tblGrid>
      <w:tr w:rsidR="005E326A" w:rsidRPr="005E326A" w14:paraId="0ADA3193" w14:textId="77777777" w:rsidTr="005E326A">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24717C04" w14:textId="77777777" w:rsidR="005E326A" w:rsidRPr="005E326A" w:rsidRDefault="005E326A" w:rsidP="005E326A">
            <w:pPr>
              <w:suppressAutoHyphens w:val="0"/>
              <w:spacing w:before="450" w:after="450" w:line="240" w:lineRule="auto"/>
              <w:rPr>
                <w:rFonts w:ascii="Arial" w:eastAsia="Times New Roman" w:hAnsi="Arial" w:cs="Arial"/>
                <w:b/>
                <w:bCs/>
                <w:color w:val="0B0C0C"/>
                <w:sz w:val="24"/>
                <w:szCs w:val="24"/>
                <w:lang w:eastAsia="en-GB"/>
              </w:rPr>
            </w:pPr>
            <w:r w:rsidRPr="005E326A">
              <w:rPr>
                <w:rFonts w:ascii="Arial" w:eastAsia="Times New Roman" w:hAnsi="Arial" w:cs="Arial"/>
                <w:b/>
                <w:bCs/>
                <w:color w:val="0B0C0C"/>
                <w:sz w:val="24"/>
                <w:szCs w:val="24"/>
                <w:lang w:eastAsia="en-GB"/>
              </w:rPr>
              <w:t>Infection</w:t>
            </w:r>
          </w:p>
        </w:tc>
        <w:tc>
          <w:tcPr>
            <w:tcW w:w="0" w:type="auto"/>
            <w:tcBorders>
              <w:bottom w:val="single" w:sz="6" w:space="0" w:color="B1B4B6"/>
            </w:tcBorders>
            <w:shd w:val="clear" w:color="auto" w:fill="FFFFFF"/>
            <w:tcMar>
              <w:top w:w="150" w:type="dxa"/>
              <w:left w:w="0" w:type="dxa"/>
              <w:bottom w:w="150" w:type="dxa"/>
              <w:right w:w="300" w:type="dxa"/>
            </w:tcMar>
            <w:hideMark/>
          </w:tcPr>
          <w:p w14:paraId="30AF7733" w14:textId="77777777" w:rsidR="005E326A" w:rsidRPr="005E326A" w:rsidRDefault="005E326A" w:rsidP="005E326A">
            <w:pPr>
              <w:suppressAutoHyphens w:val="0"/>
              <w:spacing w:before="450" w:after="450" w:line="240" w:lineRule="auto"/>
              <w:rPr>
                <w:rFonts w:ascii="Arial" w:eastAsia="Times New Roman" w:hAnsi="Arial" w:cs="Arial"/>
                <w:b/>
                <w:bCs/>
                <w:color w:val="0B0C0C"/>
                <w:sz w:val="24"/>
                <w:szCs w:val="24"/>
                <w:lang w:eastAsia="en-GB"/>
              </w:rPr>
            </w:pPr>
            <w:r w:rsidRPr="005E326A">
              <w:rPr>
                <w:rFonts w:ascii="Arial" w:eastAsia="Times New Roman" w:hAnsi="Arial" w:cs="Arial"/>
                <w:b/>
                <w:bCs/>
                <w:color w:val="0B0C0C"/>
                <w:sz w:val="24"/>
                <w:szCs w:val="24"/>
                <w:lang w:eastAsia="en-GB"/>
              </w:rPr>
              <w:t>Exclusion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567CBFE2" w14:textId="77777777" w:rsidR="005E326A" w:rsidRPr="005E326A" w:rsidRDefault="005E326A" w:rsidP="005E326A">
            <w:pPr>
              <w:suppressAutoHyphens w:val="0"/>
              <w:spacing w:before="450" w:after="450" w:line="240" w:lineRule="auto"/>
              <w:rPr>
                <w:rFonts w:ascii="Arial" w:eastAsia="Times New Roman" w:hAnsi="Arial" w:cs="Arial"/>
                <w:b/>
                <w:bCs/>
                <w:color w:val="0B0C0C"/>
                <w:sz w:val="24"/>
                <w:szCs w:val="24"/>
                <w:lang w:eastAsia="en-GB"/>
              </w:rPr>
            </w:pPr>
            <w:r w:rsidRPr="005E326A">
              <w:rPr>
                <w:rFonts w:ascii="Arial" w:eastAsia="Times New Roman" w:hAnsi="Arial" w:cs="Arial"/>
                <w:b/>
                <w:bCs/>
                <w:color w:val="0B0C0C"/>
                <w:sz w:val="24"/>
                <w:szCs w:val="24"/>
                <w:lang w:eastAsia="en-GB"/>
              </w:rPr>
              <w:t>Comments</w:t>
            </w:r>
          </w:p>
        </w:tc>
      </w:tr>
      <w:tr w:rsidR="005E326A" w:rsidRPr="005E326A" w14:paraId="7D9C35C1"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FAC7A2A"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Athlete’s foot</w:t>
            </w:r>
          </w:p>
        </w:tc>
        <w:tc>
          <w:tcPr>
            <w:tcW w:w="0" w:type="auto"/>
            <w:tcBorders>
              <w:bottom w:val="single" w:sz="6" w:space="0" w:color="B1B4B6"/>
            </w:tcBorders>
            <w:shd w:val="clear" w:color="auto" w:fill="FFFFFF"/>
            <w:tcMar>
              <w:top w:w="150" w:type="dxa"/>
              <w:left w:w="0" w:type="dxa"/>
              <w:bottom w:w="150" w:type="dxa"/>
              <w:right w:w="300" w:type="dxa"/>
            </w:tcMar>
            <w:hideMark/>
          </w:tcPr>
          <w:p w14:paraId="46D78C1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5625A79E"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Individuals should not be barefoot at their setting (for example in changing areas) and should not share towels, socks or shoes with others.</w:t>
            </w:r>
          </w:p>
        </w:tc>
      </w:tr>
      <w:tr w:rsidR="005E326A" w:rsidRPr="005E326A" w14:paraId="4900B19A"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CC739C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Chickenpox</w:t>
            </w:r>
          </w:p>
        </w:tc>
        <w:tc>
          <w:tcPr>
            <w:tcW w:w="0" w:type="auto"/>
            <w:tcBorders>
              <w:bottom w:val="single" w:sz="6" w:space="0" w:color="B1B4B6"/>
            </w:tcBorders>
            <w:shd w:val="clear" w:color="auto" w:fill="FFFFFF"/>
            <w:tcMar>
              <w:top w:w="150" w:type="dxa"/>
              <w:left w:w="0" w:type="dxa"/>
              <w:bottom w:w="150" w:type="dxa"/>
              <w:right w:w="300" w:type="dxa"/>
            </w:tcMar>
            <w:hideMark/>
          </w:tcPr>
          <w:p w14:paraId="31FF78B5"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At least 5 days from onset of rash and until all blisters have crusted over.</w:t>
            </w:r>
          </w:p>
        </w:tc>
        <w:tc>
          <w:tcPr>
            <w:tcW w:w="0" w:type="auto"/>
            <w:tcBorders>
              <w:bottom w:val="single" w:sz="6" w:space="0" w:color="B1B4B6"/>
            </w:tcBorders>
            <w:shd w:val="clear" w:color="auto" w:fill="FFFFFF"/>
            <w:tcMar>
              <w:top w:w="150" w:type="dxa"/>
              <w:left w:w="0" w:type="dxa"/>
              <w:bottom w:w="150" w:type="dxa"/>
              <w:right w:w="0" w:type="dxa"/>
            </w:tcMar>
            <w:hideMark/>
          </w:tcPr>
          <w:p w14:paraId="30C67845"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Pregnant staff contacts should consult with their GP or midwife.</w:t>
            </w:r>
          </w:p>
        </w:tc>
      </w:tr>
      <w:tr w:rsidR="005E326A" w:rsidRPr="005E326A" w14:paraId="4E680859"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AAA462D"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Cold sores (herpes simplex)</w:t>
            </w:r>
          </w:p>
        </w:tc>
        <w:tc>
          <w:tcPr>
            <w:tcW w:w="0" w:type="auto"/>
            <w:tcBorders>
              <w:bottom w:val="single" w:sz="6" w:space="0" w:color="B1B4B6"/>
            </w:tcBorders>
            <w:shd w:val="clear" w:color="auto" w:fill="FFFFFF"/>
            <w:tcMar>
              <w:top w:w="150" w:type="dxa"/>
              <w:left w:w="0" w:type="dxa"/>
              <w:bottom w:w="150" w:type="dxa"/>
              <w:right w:w="300" w:type="dxa"/>
            </w:tcMar>
            <w:hideMark/>
          </w:tcPr>
          <w:p w14:paraId="3152EF09"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55A8F912"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Avoid kissing and contact with the sores.</w:t>
            </w:r>
          </w:p>
        </w:tc>
      </w:tr>
      <w:tr w:rsidR="005E326A" w:rsidRPr="005E326A" w14:paraId="58D9B334"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08150BE3"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Conjunctivitis</w:t>
            </w:r>
          </w:p>
        </w:tc>
        <w:tc>
          <w:tcPr>
            <w:tcW w:w="0" w:type="auto"/>
            <w:tcBorders>
              <w:bottom w:val="single" w:sz="6" w:space="0" w:color="B1B4B6"/>
            </w:tcBorders>
            <w:shd w:val="clear" w:color="auto" w:fill="FFFFFF"/>
            <w:tcMar>
              <w:top w:w="150" w:type="dxa"/>
              <w:left w:w="0" w:type="dxa"/>
              <w:bottom w:w="150" w:type="dxa"/>
              <w:right w:w="300" w:type="dxa"/>
            </w:tcMar>
            <w:hideMark/>
          </w:tcPr>
          <w:p w14:paraId="2A75B6DE"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00F52D5B"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If an outbreak or cluster occurs, </w:t>
            </w:r>
            <w:hyperlink r:id="rId6" w:history="1">
              <w:r w:rsidRPr="005E326A">
                <w:rPr>
                  <w:rFonts w:ascii="Arial" w:eastAsia="Times New Roman" w:hAnsi="Arial" w:cs="Arial"/>
                  <w:color w:val="1D70B8"/>
                  <w:sz w:val="24"/>
                  <w:szCs w:val="24"/>
                  <w:u w:val="single"/>
                  <w:lang w:eastAsia="en-GB"/>
                </w:rPr>
                <w:t>contact your local UKHSA health protection team</w:t>
              </w:r>
            </w:hyperlink>
            <w:r w:rsidRPr="005E326A">
              <w:rPr>
                <w:rFonts w:ascii="Arial" w:eastAsia="Times New Roman" w:hAnsi="Arial" w:cs="Arial"/>
                <w:color w:val="0B0C0C"/>
                <w:sz w:val="24"/>
                <w:szCs w:val="24"/>
                <w:lang w:eastAsia="en-GB"/>
              </w:rPr>
              <w:t>.</w:t>
            </w:r>
          </w:p>
        </w:tc>
      </w:tr>
      <w:tr w:rsidR="005E326A" w:rsidRPr="005E326A" w14:paraId="7A2B3EE5"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2BCC61B"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lastRenderedPageBreak/>
              <w:t>Respiratory infections including coronavirus (COVID-19)</w:t>
            </w:r>
          </w:p>
        </w:tc>
        <w:tc>
          <w:tcPr>
            <w:tcW w:w="0" w:type="auto"/>
            <w:tcBorders>
              <w:bottom w:val="single" w:sz="6" w:space="0" w:color="B1B4B6"/>
            </w:tcBorders>
            <w:shd w:val="clear" w:color="auto" w:fill="FFFFFF"/>
            <w:tcMar>
              <w:top w:w="150" w:type="dxa"/>
              <w:left w:w="0" w:type="dxa"/>
              <w:bottom w:w="150" w:type="dxa"/>
              <w:right w:w="300" w:type="dxa"/>
            </w:tcMar>
            <w:hideMark/>
          </w:tcPr>
          <w:p w14:paraId="0F08D48D"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Individuals should not attend if they have a high temperature and are unwell.</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Individuals who have a positive test result for COVID-19 should not attend the setting for 3 days after the day of the test.</w:t>
            </w:r>
          </w:p>
        </w:tc>
        <w:tc>
          <w:tcPr>
            <w:tcW w:w="0" w:type="auto"/>
            <w:tcBorders>
              <w:bottom w:val="single" w:sz="6" w:space="0" w:color="B1B4B6"/>
            </w:tcBorders>
            <w:shd w:val="clear" w:color="auto" w:fill="FFFFFF"/>
            <w:tcMar>
              <w:top w:w="150" w:type="dxa"/>
              <w:left w:w="0" w:type="dxa"/>
              <w:bottom w:w="150" w:type="dxa"/>
              <w:right w:w="0" w:type="dxa"/>
            </w:tcMar>
            <w:hideMark/>
          </w:tcPr>
          <w:p w14:paraId="60CED76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Individuals with mild symptoms such as runny nose, and headache who are otherwise well can continue to attend their setting.</w:t>
            </w:r>
          </w:p>
        </w:tc>
      </w:tr>
      <w:tr w:rsidR="005E326A" w:rsidRPr="005E326A" w14:paraId="51DD954F"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818D04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Diarrhoea and vomiting</w:t>
            </w:r>
          </w:p>
        </w:tc>
        <w:tc>
          <w:tcPr>
            <w:tcW w:w="0" w:type="auto"/>
            <w:tcBorders>
              <w:bottom w:val="single" w:sz="6" w:space="0" w:color="B1B4B6"/>
            </w:tcBorders>
            <w:shd w:val="clear" w:color="auto" w:fill="FFFFFF"/>
            <w:tcMar>
              <w:top w:w="150" w:type="dxa"/>
              <w:left w:w="0" w:type="dxa"/>
              <w:bottom w:w="150" w:type="dxa"/>
              <w:right w:w="300" w:type="dxa"/>
            </w:tcMar>
            <w:hideMark/>
          </w:tcPr>
          <w:p w14:paraId="1AFAFBA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Individuals can return 48 hours after diarrhoea and vomiting have stopped.</w:t>
            </w:r>
          </w:p>
        </w:tc>
        <w:tc>
          <w:tcPr>
            <w:tcW w:w="0" w:type="auto"/>
            <w:tcBorders>
              <w:bottom w:val="single" w:sz="6" w:space="0" w:color="B1B4B6"/>
            </w:tcBorders>
            <w:shd w:val="clear" w:color="auto" w:fill="FFFFFF"/>
            <w:tcMar>
              <w:top w:w="150" w:type="dxa"/>
              <w:left w:w="0" w:type="dxa"/>
              <w:bottom w:w="150" w:type="dxa"/>
              <w:right w:w="0" w:type="dxa"/>
            </w:tcMar>
            <w:hideMark/>
          </w:tcPr>
          <w:p w14:paraId="2994F09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If a particular cause of the diarrhoea and vomiting is identified, there may be additional exclusion advice, for example E. coli STEC and hep A.</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For more information, see </w:t>
            </w:r>
            <w:hyperlink r:id="rId7" w:history="1">
              <w:r w:rsidRPr="005E326A">
                <w:rPr>
                  <w:rFonts w:ascii="Arial" w:eastAsia="Times New Roman" w:hAnsi="Arial" w:cs="Arial"/>
                  <w:color w:val="1D70B8"/>
                  <w:sz w:val="24"/>
                  <w:szCs w:val="24"/>
                  <w:u w:val="single"/>
                  <w:lang w:eastAsia="en-GB"/>
                </w:rPr>
                <w:t>Managing outbreaks and incidents</w:t>
              </w:r>
            </w:hyperlink>
            <w:r w:rsidRPr="005E326A">
              <w:rPr>
                <w:rFonts w:ascii="Arial" w:eastAsia="Times New Roman" w:hAnsi="Arial" w:cs="Arial"/>
                <w:color w:val="0B0C0C"/>
                <w:sz w:val="24"/>
                <w:szCs w:val="24"/>
                <w:lang w:eastAsia="en-GB"/>
              </w:rPr>
              <w:t>.</w:t>
            </w:r>
          </w:p>
        </w:tc>
      </w:tr>
      <w:tr w:rsidR="005E326A" w:rsidRPr="005E326A" w14:paraId="1320D800"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CB5DF1A"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Diptheria*</w:t>
            </w:r>
          </w:p>
        </w:tc>
        <w:tc>
          <w:tcPr>
            <w:tcW w:w="0" w:type="auto"/>
            <w:tcBorders>
              <w:bottom w:val="single" w:sz="6" w:space="0" w:color="B1B4B6"/>
            </w:tcBorders>
            <w:shd w:val="clear" w:color="auto" w:fill="FFFFFF"/>
            <w:tcMar>
              <w:top w:w="150" w:type="dxa"/>
              <w:left w:w="0" w:type="dxa"/>
              <w:bottom w:w="150" w:type="dxa"/>
              <w:right w:w="300" w:type="dxa"/>
            </w:tcMar>
            <w:hideMark/>
          </w:tcPr>
          <w:p w14:paraId="283CB56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Exclusion is essential.</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Always contact your </w:t>
            </w:r>
            <w:hyperlink r:id="rId8"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w:t>
            </w:r>
          </w:p>
        </w:tc>
        <w:tc>
          <w:tcPr>
            <w:tcW w:w="0" w:type="auto"/>
            <w:tcBorders>
              <w:bottom w:val="single" w:sz="6" w:space="0" w:color="B1B4B6"/>
            </w:tcBorders>
            <w:shd w:val="clear" w:color="auto" w:fill="FFFFFF"/>
            <w:tcMar>
              <w:top w:w="150" w:type="dxa"/>
              <w:left w:w="0" w:type="dxa"/>
              <w:bottom w:w="150" w:type="dxa"/>
              <w:right w:w="0" w:type="dxa"/>
            </w:tcMar>
            <w:hideMark/>
          </w:tcPr>
          <w:p w14:paraId="3C07D27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Preventable by vaccination. For toxigenic Diphtheria, only family contacts must be excluded until cleared to return by your </w:t>
            </w:r>
            <w:hyperlink r:id="rId9"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w:t>
            </w:r>
          </w:p>
        </w:tc>
      </w:tr>
      <w:tr w:rsidR="005E326A" w:rsidRPr="005E326A" w14:paraId="619C16AD"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E0B2C2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Flu (influenza) or influenza like illness</w:t>
            </w:r>
          </w:p>
        </w:tc>
        <w:tc>
          <w:tcPr>
            <w:tcW w:w="0" w:type="auto"/>
            <w:tcBorders>
              <w:bottom w:val="single" w:sz="6" w:space="0" w:color="B1B4B6"/>
            </w:tcBorders>
            <w:shd w:val="clear" w:color="auto" w:fill="FFFFFF"/>
            <w:tcMar>
              <w:top w:w="150" w:type="dxa"/>
              <w:left w:w="0" w:type="dxa"/>
              <w:bottom w:w="150" w:type="dxa"/>
              <w:right w:w="300" w:type="dxa"/>
            </w:tcMar>
            <w:hideMark/>
          </w:tcPr>
          <w:p w14:paraId="3DA997D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Until recovered</w:t>
            </w:r>
          </w:p>
        </w:tc>
        <w:tc>
          <w:tcPr>
            <w:tcW w:w="0" w:type="auto"/>
            <w:tcBorders>
              <w:bottom w:val="single" w:sz="6" w:space="0" w:color="B1B4B6"/>
            </w:tcBorders>
            <w:shd w:val="clear" w:color="auto" w:fill="FFFFFF"/>
            <w:tcMar>
              <w:top w:w="150" w:type="dxa"/>
              <w:left w:w="0" w:type="dxa"/>
              <w:bottom w:w="150" w:type="dxa"/>
              <w:right w:w="0" w:type="dxa"/>
            </w:tcMar>
            <w:hideMark/>
          </w:tcPr>
          <w:p w14:paraId="2E327AC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Report outbreaks to your </w:t>
            </w:r>
            <w:hyperlink r:id="rId10"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For more information, see </w:t>
            </w:r>
            <w:hyperlink r:id="rId11" w:history="1">
              <w:r w:rsidRPr="005E326A">
                <w:rPr>
                  <w:rFonts w:ascii="Arial" w:eastAsia="Times New Roman" w:hAnsi="Arial" w:cs="Arial"/>
                  <w:color w:val="1D70B8"/>
                  <w:sz w:val="24"/>
                  <w:szCs w:val="24"/>
                  <w:u w:val="single"/>
                  <w:lang w:eastAsia="en-GB"/>
                </w:rPr>
                <w:t>Managing outbreaks and incidents</w:t>
              </w:r>
            </w:hyperlink>
            <w:r w:rsidRPr="005E326A">
              <w:rPr>
                <w:rFonts w:ascii="Arial" w:eastAsia="Times New Roman" w:hAnsi="Arial" w:cs="Arial"/>
                <w:color w:val="0B0C0C"/>
                <w:sz w:val="24"/>
                <w:szCs w:val="24"/>
                <w:lang w:eastAsia="en-GB"/>
              </w:rPr>
              <w:t>.</w:t>
            </w:r>
          </w:p>
        </w:tc>
      </w:tr>
      <w:tr w:rsidR="005E326A" w:rsidRPr="005E326A" w14:paraId="0638BBA2"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C1EDF83"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lastRenderedPageBreak/>
              <w:t>Glandular fever</w:t>
            </w:r>
          </w:p>
        </w:tc>
        <w:tc>
          <w:tcPr>
            <w:tcW w:w="0" w:type="auto"/>
            <w:tcBorders>
              <w:bottom w:val="single" w:sz="6" w:space="0" w:color="B1B4B6"/>
            </w:tcBorders>
            <w:shd w:val="clear" w:color="auto" w:fill="FFFFFF"/>
            <w:tcMar>
              <w:top w:w="150" w:type="dxa"/>
              <w:left w:w="0" w:type="dxa"/>
              <w:bottom w:w="150" w:type="dxa"/>
              <w:right w:w="300" w:type="dxa"/>
            </w:tcMar>
            <w:hideMark/>
          </w:tcPr>
          <w:p w14:paraId="0771775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26FAFFE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 </w:t>
            </w:r>
          </w:p>
        </w:tc>
      </w:tr>
      <w:tr w:rsidR="005E326A" w:rsidRPr="005E326A" w14:paraId="47147250"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4982E07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Hand foot and mouth</w:t>
            </w:r>
          </w:p>
        </w:tc>
        <w:tc>
          <w:tcPr>
            <w:tcW w:w="0" w:type="auto"/>
            <w:tcBorders>
              <w:bottom w:val="single" w:sz="6" w:space="0" w:color="B1B4B6"/>
            </w:tcBorders>
            <w:shd w:val="clear" w:color="auto" w:fill="FFFFFF"/>
            <w:tcMar>
              <w:top w:w="150" w:type="dxa"/>
              <w:left w:w="0" w:type="dxa"/>
              <w:bottom w:w="150" w:type="dxa"/>
              <w:right w:w="300" w:type="dxa"/>
            </w:tcMar>
            <w:hideMark/>
          </w:tcPr>
          <w:p w14:paraId="3CEADC73"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1917F4BB"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Contact your </w:t>
            </w:r>
            <w:hyperlink r:id="rId12"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if a large number of children are affected. Exclusion may be considered in some circumstances.</w:t>
            </w:r>
          </w:p>
        </w:tc>
      </w:tr>
      <w:tr w:rsidR="005E326A" w:rsidRPr="005E326A" w14:paraId="4C74885F"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767252BB"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Head lice</w:t>
            </w:r>
          </w:p>
        </w:tc>
        <w:tc>
          <w:tcPr>
            <w:tcW w:w="0" w:type="auto"/>
            <w:tcBorders>
              <w:bottom w:val="single" w:sz="6" w:space="0" w:color="B1B4B6"/>
            </w:tcBorders>
            <w:shd w:val="clear" w:color="auto" w:fill="FFFFFF"/>
            <w:tcMar>
              <w:top w:w="150" w:type="dxa"/>
              <w:left w:w="0" w:type="dxa"/>
              <w:bottom w:w="150" w:type="dxa"/>
              <w:right w:w="300" w:type="dxa"/>
            </w:tcMar>
            <w:hideMark/>
          </w:tcPr>
          <w:p w14:paraId="1ADCD0D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24437F3A"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 </w:t>
            </w:r>
          </w:p>
        </w:tc>
      </w:tr>
      <w:tr w:rsidR="005E326A" w:rsidRPr="005E326A" w14:paraId="0E698D22"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2DA0761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Hepititis A</w:t>
            </w:r>
          </w:p>
        </w:tc>
        <w:tc>
          <w:tcPr>
            <w:tcW w:w="0" w:type="auto"/>
            <w:tcBorders>
              <w:bottom w:val="single" w:sz="6" w:space="0" w:color="B1B4B6"/>
            </w:tcBorders>
            <w:shd w:val="clear" w:color="auto" w:fill="FFFFFF"/>
            <w:tcMar>
              <w:top w:w="150" w:type="dxa"/>
              <w:left w:w="0" w:type="dxa"/>
              <w:bottom w:w="150" w:type="dxa"/>
              <w:right w:w="300" w:type="dxa"/>
            </w:tcMar>
            <w:hideMark/>
          </w:tcPr>
          <w:p w14:paraId="7FDFE29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Exclude until 7 days after onset of jaundice (or 7 days after symptom onset if no jaundice).</w:t>
            </w:r>
          </w:p>
        </w:tc>
        <w:tc>
          <w:tcPr>
            <w:tcW w:w="0" w:type="auto"/>
            <w:tcBorders>
              <w:bottom w:val="single" w:sz="6" w:space="0" w:color="B1B4B6"/>
            </w:tcBorders>
            <w:shd w:val="clear" w:color="auto" w:fill="FFFFFF"/>
            <w:tcMar>
              <w:top w:w="150" w:type="dxa"/>
              <w:left w:w="0" w:type="dxa"/>
              <w:bottom w:w="150" w:type="dxa"/>
              <w:right w:w="0" w:type="dxa"/>
            </w:tcMar>
            <w:hideMark/>
          </w:tcPr>
          <w:p w14:paraId="4B04B39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In an outbreak of hepatitis A, your </w:t>
            </w:r>
            <w:hyperlink r:id="rId13"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will advise on control measures.</w:t>
            </w:r>
          </w:p>
        </w:tc>
      </w:tr>
      <w:tr w:rsidR="005E326A" w:rsidRPr="005E326A" w14:paraId="7BFCF19B"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0258017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Hepatitis B, C, HIV</w:t>
            </w:r>
          </w:p>
        </w:tc>
        <w:tc>
          <w:tcPr>
            <w:tcW w:w="0" w:type="auto"/>
            <w:tcBorders>
              <w:bottom w:val="single" w:sz="6" w:space="0" w:color="B1B4B6"/>
            </w:tcBorders>
            <w:shd w:val="clear" w:color="auto" w:fill="FFFFFF"/>
            <w:tcMar>
              <w:top w:w="150" w:type="dxa"/>
              <w:left w:w="0" w:type="dxa"/>
              <w:bottom w:w="150" w:type="dxa"/>
              <w:right w:w="300" w:type="dxa"/>
            </w:tcMar>
            <w:hideMark/>
          </w:tcPr>
          <w:p w14:paraId="053CB083"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044C3E4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Hepatitis B and C and HIV are blood borne viruses that are not infectious through casual contact.</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Contact your </w:t>
            </w:r>
            <w:hyperlink r:id="rId14"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for more advice.</w:t>
            </w:r>
          </w:p>
        </w:tc>
      </w:tr>
      <w:tr w:rsidR="005E326A" w:rsidRPr="005E326A" w14:paraId="00BB91DC"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1CDCC7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Impetigo</w:t>
            </w:r>
          </w:p>
        </w:tc>
        <w:tc>
          <w:tcPr>
            <w:tcW w:w="0" w:type="auto"/>
            <w:tcBorders>
              <w:bottom w:val="single" w:sz="6" w:space="0" w:color="B1B4B6"/>
            </w:tcBorders>
            <w:shd w:val="clear" w:color="auto" w:fill="FFFFFF"/>
            <w:tcMar>
              <w:top w:w="150" w:type="dxa"/>
              <w:left w:w="0" w:type="dxa"/>
              <w:bottom w:w="150" w:type="dxa"/>
              <w:right w:w="300" w:type="dxa"/>
            </w:tcMar>
            <w:hideMark/>
          </w:tcPr>
          <w:p w14:paraId="3F2A89B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Until lesions are crusted or healed, or 48 hours after starting antibiotic treatment.</w:t>
            </w:r>
          </w:p>
        </w:tc>
        <w:tc>
          <w:tcPr>
            <w:tcW w:w="0" w:type="auto"/>
            <w:tcBorders>
              <w:bottom w:val="single" w:sz="6" w:space="0" w:color="B1B4B6"/>
            </w:tcBorders>
            <w:shd w:val="clear" w:color="auto" w:fill="FFFFFF"/>
            <w:tcMar>
              <w:top w:w="150" w:type="dxa"/>
              <w:left w:w="0" w:type="dxa"/>
              <w:bottom w:w="150" w:type="dxa"/>
              <w:right w:w="0" w:type="dxa"/>
            </w:tcMar>
            <w:hideMark/>
          </w:tcPr>
          <w:p w14:paraId="5DF0FA3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Antibiotic treatment speeds healing and reduces the infectious period.</w:t>
            </w:r>
          </w:p>
        </w:tc>
      </w:tr>
      <w:tr w:rsidR="005E326A" w:rsidRPr="005E326A" w14:paraId="442DD23B"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6D746CA"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lastRenderedPageBreak/>
              <w:t>Measles</w:t>
            </w:r>
          </w:p>
        </w:tc>
        <w:tc>
          <w:tcPr>
            <w:tcW w:w="0" w:type="auto"/>
            <w:tcBorders>
              <w:bottom w:val="single" w:sz="6" w:space="0" w:color="B1B4B6"/>
            </w:tcBorders>
            <w:shd w:val="clear" w:color="auto" w:fill="FFFFFF"/>
            <w:tcMar>
              <w:top w:w="150" w:type="dxa"/>
              <w:left w:w="0" w:type="dxa"/>
              <w:bottom w:w="150" w:type="dxa"/>
              <w:right w:w="300" w:type="dxa"/>
            </w:tcMar>
            <w:hideMark/>
          </w:tcPr>
          <w:p w14:paraId="7BC3911E"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4 days from onset of rash and well enough.</w:t>
            </w:r>
          </w:p>
        </w:tc>
        <w:tc>
          <w:tcPr>
            <w:tcW w:w="0" w:type="auto"/>
            <w:tcBorders>
              <w:bottom w:val="single" w:sz="6" w:space="0" w:color="B1B4B6"/>
            </w:tcBorders>
            <w:shd w:val="clear" w:color="auto" w:fill="FFFFFF"/>
            <w:tcMar>
              <w:top w:w="150" w:type="dxa"/>
              <w:left w:w="0" w:type="dxa"/>
              <w:bottom w:w="150" w:type="dxa"/>
              <w:right w:w="0" w:type="dxa"/>
            </w:tcMar>
            <w:hideMark/>
          </w:tcPr>
          <w:p w14:paraId="18A31A1F"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Preventable by vaccination with 2 doses of MMR.</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Promote MMR for all individuals, including staff. Pregnant staff contacts should seek prompt advice from their GP or midwife.</w:t>
            </w:r>
          </w:p>
        </w:tc>
      </w:tr>
      <w:tr w:rsidR="005E326A" w:rsidRPr="005E326A" w14:paraId="3B3CFEE6"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2CE6F96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Meningococcal meningitis* or septicaemia*</w:t>
            </w:r>
          </w:p>
        </w:tc>
        <w:tc>
          <w:tcPr>
            <w:tcW w:w="0" w:type="auto"/>
            <w:tcBorders>
              <w:bottom w:val="single" w:sz="6" w:space="0" w:color="B1B4B6"/>
            </w:tcBorders>
            <w:shd w:val="clear" w:color="auto" w:fill="FFFFFF"/>
            <w:tcMar>
              <w:top w:w="150" w:type="dxa"/>
              <w:left w:w="0" w:type="dxa"/>
              <w:bottom w:w="150" w:type="dxa"/>
              <w:right w:w="300" w:type="dxa"/>
            </w:tcMar>
            <w:hideMark/>
          </w:tcPr>
          <w:p w14:paraId="33FAA15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Until recovered</w:t>
            </w:r>
          </w:p>
        </w:tc>
        <w:tc>
          <w:tcPr>
            <w:tcW w:w="0" w:type="auto"/>
            <w:tcBorders>
              <w:bottom w:val="single" w:sz="6" w:space="0" w:color="B1B4B6"/>
            </w:tcBorders>
            <w:shd w:val="clear" w:color="auto" w:fill="FFFFFF"/>
            <w:tcMar>
              <w:top w:w="150" w:type="dxa"/>
              <w:left w:w="0" w:type="dxa"/>
              <w:bottom w:w="150" w:type="dxa"/>
              <w:right w:w="0" w:type="dxa"/>
            </w:tcMar>
            <w:hideMark/>
          </w:tcPr>
          <w:p w14:paraId="310C2D92"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Meningitis ACWY and B are preventable by vaccination.</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Your </w:t>
            </w:r>
            <w:hyperlink r:id="rId15"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will advise on any action needed.</w:t>
            </w:r>
          </w:p>
        </w:tc>
      </w:tr>
      <w:tr w:rsidR="005E326A" w:rsidRPr="005E326A" w14:paraId="54E58112"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2E0B949F"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Meningitis* due to other bacteria</w:t>
            </w:r>
          </w:p>
        </w:tc>
        <w:tc>
          <w:tcPr>
            <w:tcW w:w="0" w:type="auto"/>
            <w:tcBorders>
              <w:bottom w:val="single" w:sz="6" w:space="0" w:color="B1B4B6"/>
            </w:tcBorders>
            <w:shd w:val="clear" w:color="auto" w:fill="FFFFFF"/>
            <w:tcMar>
              <w:top w:w="150" w:type="dxa"/>
              <w:left w:w="0" w:type="dxa"/>
              <w:bottom w:w="150" w:type="dxa"/>
              <w:right w:w="300" w:type="dxa"/>
            </w:tcMar>
            <w:hideMark/>
          </w:tcPr>
          <w:p w14:paraId="0D51742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Until recovered</w:t>
            </w:r>
          </w:p>
        </w:tc>
        <w:tc>
          <w:tcPr>
            <w:tcW w:w="0" w:type="auto"/>
            <w:tcBorders>
              <w:bottom w:val="single" w:sz="6" w:space="0" w:color="B1B4B6"/>
            </w:tcBorders>
            <w:shd w:val="clear" w:color="auto" w:fill="FFFFFF"/>
            <w:tcMar>
              <w:top w:w="150" w:type="dxa"/>
              <w:left w:w="0" w:type="dxa"/>
              <w:bottom w:w="150" w:type="dxa"/>
              <w:right w:w="0" w:type="dxa"/>
            </w:tcMar>
            <w:hideMark/>
          </w:tcPr>
          <w:p w14:paraId="08E1AE39"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Hib and pneumococcal meningitis are preventable by vaccination. Your </w:t>
            </w:r>
            <w:hyperlink r:id="rId16"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will advise on any action needed.</w:t>
            </w:r>
          </w:p>
        </w:tc>
      </w:tr>
      <w:tr w:rsidR="005E326A" w:rsidRPr="005E326A" w14:paraId="3AD7C589"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03956A82"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Meningitis viral</w:t>
            </w:r>
          </w:p>
        </w:tc>
        <w:tc>
          <w:tcPr>
            <w:tcW w:w="0" w:type="auto"/>
            <w:tcBorders>
              <w:bottom w:val="single" w:sz="6" w:space="0" w:color="B1B4B6"/>
            </w:tcBorders>
            <w:shd w:val="clear" w:color="auto" w:fill="FFFFFF"/>
            <w:tcMar>
              <w:top w:w="150" w:type="dxa"/>
              <w:left w:w="0" w:type="dxa"/>
              <w:bottom w:w="150" w:type="dxa"/>
              <w:right w:w="300" w:type="dxa"/>
            </w:tcMar>
            <w:hideMark/>
          </w:tcPr>
          <w:p w14:paraId="16239DF9"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6F701B6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Milder illness than bacterial meningitis. Siblings and other close contacts of a case need not be excluded.</w:t>
            </w:r>
          </w:p>
        </w:tc>
      </w:tr>
      <w:tr w:rsidR="005E326A" w:rsidRPr="005E326A" w14:paraId="636E4A6A"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02C1FC8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MRSA</w:t>
            </w:r>
          </w:p>
        </w:tc>
        <w:tc>
          <w:tcPr>
            <w:tcW w:w="0" w:type="auto"/>
            <w:tcBorders>
              <w:bottom w:val="single" w:sz="6" w:space="0" w:color="B1B4B6"/>
            </w:tcBorders>
            <w:shd w:val="clear" w:color="auto" w:fill="FFFFFF"/>
            <w:tcMar>
              <w:top w:w="150" w:type="dxa"/>
              <w:left w:w="0" w:type="dxa"/>
              <w:bottom w:w="150" w:type="dxa"/>
              <w:right w:w="300" w:type="dxa"/>
            </w:tcMar>
            <w:hideMark/>
          </w:tcPr>
          <w:p w14:paraId="67008B45"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1AEBCEEE"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Good hygiene, in particular handwashing and environmental cleaning, are important to minimise spread.</w:t>
            </w:r>
            <w:r w:rsidRPr="005E326A">
              <w:rPr>
                <w:rFonts w:ascii="Arial" w:eastAsia="Times New Roman" w:hAnsi="Arial" w:cs="Arial"/>
                <w:color w:val="0B0C0C"/>
                <w:sz w:val="24"/>
                <w:szCs w:val="24"/>
                <w:lang w:eastAsia="en-GB"/>
              </w:rPr>
              <w:br/>
              <w:t>Contact your </w:t>
            </w:r>
            <w:hyperlink r:id="rId17"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for more information.</w:t>
            </w:r>
          </w:p>
        </w:tc>
      </w:tr>
      <w:tr w:rsidR="005E326A" w:rsidRPr="005E326A" w14:paraId="5EAEA855"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1929A91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lastRenderedPageBreak/>
              <w:t>Mumps*</w:t>
            </w:r>
          </w:p>
        </w:tc>
        <w:tc>
          <w:tcPr>
            <w:tcW w:w="0" w:type="auto"/>
            <w:tcBorders>
              <w:bottom w:val="single" w:sz="6" w:space="0" w:color="B1B4B6"/>
            </w:tcBorders>
            <w:shd w:val="clear" w:color="auto" w:fill="FFFFFF"/>
            <w:tcMar>
              <w:top w:w="150" w:type="dxa"/>
              <w:left w:w="0" w:type="dxa"/>
              <w:bottom w:w="150" w:type="dxa"/>
              <w:right w:w="300" w:type="dxa"/>
            </w:tcMar>
            <w:hideMark/>
          </w:tcPr>
          <w:p w14:paraId="6E479B82"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5 days after onset of swelling</w:t>
            </w:r>
          </w:p>
        </w:tc>
        <w:tc>
          <w:tcPr>
            <w:tcW w:w="0" w:type="auto"/>
            <w:tcBorders>
              <w:bottom w:val="single" w:sz="6" w:space="0" w:color="B1B4B6"/>
            </w:tcBorders>
            <w:shd w:val="clear" w:color="auto" w:fill="FFFFFF"/>
            <w:tcMar>
              <w:top w:w="150" w:type="dxa"/>
              <w:left w:w="0" w:type="dxa"/>
              <w:bottom w:w="150" w:type="dxa"/>
              <w:right w:w="0" w:type="dxa"/>
            </w:tcMar>
            <w:hideMark/>
          </w:tcPr>
          <w:p w14:paraId="4C25BC1E"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Preventable by vaccination with 2 doses of MMR. Promote MMR for all individuals, including staff.</w:t>
            </w:r>
          </w:p>
        </w:tc>
      </w:tr>
      <w:tr w:rsidR="005E326A" w:rsidRPr="005E326A" w14:paraId="1D7C1995"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D7CB21F"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Ringworm</w:t>
            </w:r>
          </w:p>
        </w:tc>
        <w:tc>
          <w:tcPr>
            <w:tcW w:w="0" w:type="auto"/>
            <w:tcBorders>
              <w:bottom w:val="single" w:sz="6" w:space="0" w:color="B1B4B6"/>
            </w:tcBorders>
            <w:shd w:val="clear" w:color="auto" w:fill="FFFFFF"/>
            <w:tcMar>
              <w:top w:w="150" w:type="dxa"/>
              <w:left w:w="0" w:type="dxa"/>
              <w:bottom w:w="150" w:type="dxa"/>
              <w:right w:w="300" w:type="dxa"/>
            </w:tcMar>
            <w:hideMark/>
          </w:tcPr>
          <w:p w14:paraId="63CA4905"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Not usually required</w:t>
            </w:r>
          </w:p>
        </w:tc>
        <w:tc>
          <w:tcPr>
            <w:tcW w:w="0" w:type="auto"/>
            <w:tcBorders>
              <w:bottom w:val="single" w:sz="6" w:space="0" w:color="B1B4B6"/>
            </w:tcBorders>
            <w:shd w:val="clear" w:color="auto" w:fill="FFFFFF"/>
            <w:tcMar>
              <w:top w:w="150" w:type="dxa"/>
              <w:left w:w="0" w:type="dxa"/>
              <w:bottom w:w="150" w:type="dxa"/>
              <w:right w:w="0" w:type="dxa"/>
            </w:tcMar>
            <w:hideMark/>
          </w:tcPr>
          <w:p w14:paraId="62602519"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Treatment is needed.</w:t>
            </w:r>
          </w:p>
        </w:tc>
      </w:tr>
      <w:tr w:rsidR="005E326A" w:rsidRPr="005E326A" w14:paraId="5766307D"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CEE396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Rubella* (German measles)</w:t>
            </w:r>
          </w:p>
        </w:tc>
        <w:tc>
          <w:tcPr>
            <w:tcW w:w="0" w:type="auto"/>
            <w:tcBorders>
              <w:bottom w:val="single" w:sz="6" w:space="0" w:color="B1B4B6"/>
            </w:tcBorders>
            <w:shd w:val="clear" w:color="auto" w:fill="FFFFFF"/>
            <w:tcMar>
              <w:top w:w="150" w:type="dxa"/>
              <w:left w:w="0" w:type="dxa"/>
              <w:bottom w:w="150" w:type="dxa"/>
              <w:right w:w="300" w:type="dxa"/>
            </w:tcMar>
            <w:hideMark/>
          </w:tcPr>
          <w:p w14:paraId="1A1C0652"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5 days from onset of rash</w:t>
            </w:r>
          </w:p>
        </w:tc>
        <w:tc>
          <w:tcPr>
            <w:tcW w:w="0" w:type="auto"/>
            <w:tcBorders>
              <w:bottom w:val="single" w:sz="6" w:space="0" w:color="B1B4B6"/>
            </w:tcBorders>
            <w:shd w:val="clear" w:color="auto" w:fill="FFFFFF"/>
            <w:tcMar>
              <w:top w:w="150" w:type="dxa"/>
              <w:left w:w="0" w:type="dxa"/>
              <w:bottom w:w="150" w:type="dxa"/>
              <w:right w:w="0" w:type="dxa"/>
            </w:tcMar>
            <w:hideMark/>
          </w:tcPr>
          <w:p w14:paraId="402B479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Preventable by vaccination with 2 doses of MMR.</w:t>
            </w:r>
            <w:r w:rsidRPr="005E326A">
              <w:rPr>
                <w:rFonts w:ascii="Arial" w:eastAsia="Times New Roman" w:hAnsi="Arial" w:cs="Arial"/>
                <w:color w:val="0B0C0C"/>
                <w:sz w:val="24"/>
                <w:szCs w:val="24"/>
                <w:lang w:eastAsia="en-GB"/>
              </w:rPr>
              <w:br/>
              <w:t>Promote MMR for all individuals, including staff. Pregnant staff contacts should seek prompt advice from their GP or midwife.</w:t>
            </w:r>
          </w:p>
        </w:tc>
      </w:tr>
      <w:tr w:rsidR="005E326A" w:rsidRPr="005E326A" w14:paraId="0C4FBD99"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065F13F0"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Scabies</w:t>
            </w:r>
          </w:p>
        </w:tc>
        <w:tc>
          <w:tcPr>
            <w:tcW w:w="0" w:type="auto"/>
            <w:tcBorders>
              <w:bottom w:val="single" w:sz="6" w:space="0" w:color="B1B4B6"/>
            </w:tcBorders>
            <w:shd w:val="clear" w:color="auto" w:fill="FFFFFF"/>
            <w:tcMar>
              <w:top w:w="150" w:type="dxa"/>
              <w:left w:w="0" w:type="dxa"/>
              <w:bottom w:w="150" w:type="dxa"/>
              <w:right w:w="300" w:type="dxa"/>
            </w:tcMar>
            <w:hideMark/>
          </w:tcPr>
          <w:p w14:paraId="088CA09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Can return after first treatment.</w:t>
            </w:r>
          </w:p>
        </w:tc>
        <w:tc>
          <w:tcPr>
            <w:tcW w:w="0" w:type="auto"/>
            <w:tcBorders>
              <w:bottom w:val="single" w:sz="6" w:space="0" w:color="B1B4B6"/>
            </w:tcBorders>
            <w:shd w:val="clear" w:color="auto" w:fill="FFFFFF"/>
            <w:tcMar>
              <w:top w:w="150" w:type="dxa"/>
              <w:left w:w="0" w:type="dxa"/>
              <w:bottom w:w="150" w:type="dxa"/>
              <w:right w:w="0" w:type="dxa"/>
            </w:tcMar>
            <w:hideMark/>
          </w:tcPr>
          <w:p w14:paraId="15F8FEB2"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Household and close contacts require treatment at the same time.</w:t>
            </w:r>
          </w:p>
        </w:tc>
      </w:tr>
      <w:tr w:rsidR="005E326A" w:rsidRPr="005E326A" w14:paraId="0A5AC096"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A293C45"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Scarlet fever*</w:t>
            </w:r>
          </w:p>
        </w:tc>
        <w:tc>
          <w:tcPr>
            <w:tcW w:w="0" w:type="auto"/>
            <w:tcBorders>
              <w:bottom w:val="single" w:sz="6" w:space="0" w:color="B1B4B6"/>
            </w:tcBorders>
            <w:shd w:val="clear" w:color="auto" w:fill="FFFFFF"/>
            <w:tcMar>
              <w:top w:w="150" w:type="dxa"/>
              <w:left w:w="0" w:type="dxa"/>
              <w:bottom w:w="150" w:type="dxa"/>
              <w:right w:w="300" w:type="dxa"/>
            </w:tcMar>
            <w:hideMark/>
          </w:tcPr>
          <w:p w14:paraId="4AFA0AEB"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Exclude until 24 hours after starting antibiotic treatment.</w:t>
            </w:r>
          </w:p>
        </w:tc>
        <w:tc>
          <w:tcPr>
            <w:tcW w:w="0" w:type="auto"/>
            <w:tcBorders>
              <w:bottom w:val="single" w:sz="6" w:space="0" w:color="B1B4B6"/>
            </w:tcBorders>
            <w:shd w:val="clear" w:color="auto" w:fill="FFFFFF"/>
            <w:tcMar>
              <w:top w:w="150" w:type="dxa"/>
              <w:left w:w="0" w:type="dxa"/>
              <w:bottom w:w="150" w:type="dxa"/>
              <w:right w:w="0" w:type="dxa"/>
            </w:tcMar>
            <w:hideMark/>
          </w:tcPr>
          <w:p w14:paraId="7581A9C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Individuals who decline treatment with antibiotics should be excluded until resolution of symptoms. In the event of 2 or more suspected cases, please contact your </w:t>
            </w:r>
            <w:hyperlink r:id="rId18"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w:t>
            </w:r>
          </w:p>
        </w:tc>
      </w:tr>
      <w:tr w:rsidR="005E326A" w:rsidRPr="005E326A" w14:paraId="486997C9"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569B020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Slapped cheek/Fifth disease/Parvovirus B19</w:t>
            </w:r>
          </w:p>
        </w:tc>
        <w:tc>
          <w:tcPr>
            <w:tcW w:w="0" w:type="auto"/>
            <w:tcBorders>
              <w:bottom w:val="single" w:sz="6" w:space="0" w:color="B1B4B6"/>
            </w:tcBorders>
            <w:shd w:val="clear" w:color="auto" w:fill="FFFFFF"/>
            <w:tcMar>
              <w:top w:w="150" w:type="dxa"/>
              <w:left w:w="0" w:type="dxa"/>
              <w:bottom w:w="150" w:type="dxa"/>
              <w:right w:w="300" w:type="dxa"/>
            </w:tcMar>
            <w:hideMark/>
          </w:tcPr>
          <w:p w14:paraId="13AA721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 (once rash has developed)</w:t>
            </w:r>
          </w:p>
        </w:tc>
        <w:tc>
          <w:tcPr>
            <w:tcW w:w="0" w:type="auto"/>
            <w:tcBorders>
              <w:bottom w:val="single" w:sz="6" w:space="0" w:color="B1B4B6"/>
            </w:tcBorders>
            <w:shd w:val="clear" w:color="auto" w:fill="FFFFFF"/>
            <w:tcMar>
              <w:top w:w="150" w:type="dxa"/>
              <w:left w:w="0" w:type="dxa"/>
              <w:bottom w:w="150" w:type="dxa"/>
              <w:right w:w="0" w:type="dxa"/>
            </w:tcMar>
            <w:hideMark/>
          </w:tcPr>
          <w:p w14:paraId="0CE8574B"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Pregnant contacts of case should consult with their GP or midwife.</w:t>
            </w:r>
          </w:p>
        </w:tc>
      </w:tr>
      <w:tr w:rsidR="005E326A" w:rsidRPr="005E326A" w14:paraId="0C7E4225"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15F0D50F"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lastRenderedPageBreak/>
              <w:t>Threadworms</w:t>
            </w:r>
          </w:p>
        </w:tc>
        <w:tc>
          <w:tcPr>
            <w:tcW w:w="0" w:type="auto"/>
            <w:tcBorders>
              <w:bottom w:val="single" w:sz="6" w:space="0" w:color="B1B4B6"/>
            </w:tcBorders>
            <w:shd w:val="clear" w:color="auto" w:fill="FFFFFF"/>
            <w:tcMar>
              <w:top w:w="150" w:type="dxa"/>
              <w:left w:w="0" w:type="dxa"/>
              <w:bottom w:w="150" w:type="dxa"/>
              <w:right w:w="300" w:type="dxa"/>
            </w:tcMar>
            <w:hideMark/>
          </w:tcPr>
          <w:p w14:paraId="532A6E8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1DDEEED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Treatment recommended for child and household.</w:t>
            </w:r>
          </w:p>
        </w:tc>
      </w:tr>
      <w:tr w:rsidR="005E326A" w:rsidRPr="005E326A" w14:paraId="530D414C"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62BC3F36"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Tonsillitis</w:t>
            </w:r>
          </w:p>
        </w:tc>
        <w:tc>
          <w:tcPr>
            <w:tcW w:w="0" w:type="auto"/>
            <w:tcBorders>
              <w:bottom w:val="single" w:sz="6" w:space="0" w:color="B1B4B6"/>
            </w:tcBorders>
            <w:shd w:val="clear" w:color="auto" w:fill="FFFFFF"/>
            <w:tcMar>
              <w:top w:w="150" w:type="dxa"/>
              <w:left w:w="0" w:type="dxa"/>
              <w:bottom w:w="150" w:type="dxa"/>
              <w:right w:w="300" w:type="dxa"/>
            </w:tcMar>
            <w:hideMark/>
          </w:tcPr>
          <w:p w14:paraId="6AD1D62D"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0F127B34"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There are many causes, but most cases are due to viruses and do not need or respond to an antibiotic treatment.</w:t>
            </w:r>
          </w:p>
        </w:tc>
      </w:tr>
      <w:tr w:rsidR="005E326A" w:rsidRPr="005E326A" w14:paraId="4936F298"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E8EDE6C"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Tuberculosis* (TB)</w:t>
            </w:r>
          </w:p>
        </w:tc>
        <w:tc>
          <w:tcPr>
            <w:tcW w:w="0" w:type="auto"/>
            <w:tcBorders>
              <w:bottom w:val="single" w:sz="6" w:space="0" w:color="B1B4B6"/>
            </w:tcBorders>
            <w:shd w:val="clear" w:color="auto" w:fill="FFFFFF"/>
            <w:tcMar>
              <w:top w:w="150" w:type="dxa"/>
              <w:left w:w="0" w:type="dxa"/>
              <w:bottom w:w="150" w:type="dxa"/>
              <w:right w:w="300" w:type="dxa"/>
            </w:tcMar>
            <w:hideMark/>
          </w:tcPr>
          <w:p w14:paraId="09F79899"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Until at least 2 weeks after the start of effective antibiotic treatment (if pulmonary TB.</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Exclusion not required for non-pulmonary or latent TB infection.</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Always contact your </w:t>
            </w:r>
            <w:hyperlink r:id="rId19"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before disseminating information to staff, parents and carers, and students.</w:t>
            </w:r>
          </w:p>
        </w:tc>
        <w:tc>
          <w:tcPr>
            <w:tcW w:w="0" w:type="auto"/>
            <w:tcBorders>
              <w:bottom w:val="single" w:sz="6" w:space="0" w:color="B1B4B6"/>
            </w:tcBorders>
            <w:shd w:val="clear" w:color="auto" w:fill="FFFFFF"/>
            <w:tcMar>
              <w:top w:w="150" w:type="dxa"/>
              <w:left w:w="0" w:type="dxa"/>
              <w:bottom w:w="150" w:type="dxa"/>
              <w:right w:w="0" w:type="dxa"/>
            </w:tcMar>
            <w:hideMark/>
          </w:tcPr>
          <w:p w14:paraId="7AA5E45E"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Only pulmonary (lung) TB is infectious to others, needs close, prolonged contact to spread.</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Your </w:t>
            </w:r>
            <w:hyperlink r:id="rId20"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will organise any contact tracing.</w:t>
            </w:r>
          </w:p>
        </w:tc>
      </w:tr>
      <w:tr w:rsidR="005E326A" w:rsidRPr="005E326A" w14:paraId="431CB2F8"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5C05823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Warts and verrucae</w:t>
            </w:r>
          </w:p>
        </w:tc>
        <w:tc>
          <w:tcPr>
            <w:tcW w:w="0" w:type="auto"/>
            <w:tcBorders>
              <w:bottom w:val="single" w:sz="6" w:space="0" w:color="B1B4B6"/>
            </w:tcBorders>
            <w:shd w:val="clear" w:color="auto" w:fill="FFFFFF"/>
            <w:tcMar>
              <w:top w:w="150" w:type="dxa"/>
              <w:left w:w="0" w:type="dxa"/>
              <w:bottom w:w="150" w:type="dxa"/>
              <w:right w:w="300" w:type="dxa"/>
            </w:tcMar>
            <w:hideMark/>
          </w:tcPr>
          <w:p w14:paraId="5A615F61"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None</w:t>
            </w:r>
          </w:p>
        </w:tc>
        <w:tc>
          <w:tcPr>
            <w:tcW w:w="0" w:type="auto"/>
            <w:tcBorders>
              <w:bottom w:val="single" w:sz="6" w:space="0" w:color="B1B4B6"/>
            </w:tcBorders>
            <w:shd w:val="clear" w:color="auto" w:fill="FFFFFF"/>
            <w:tcMar>
              <w:top w:w="150" w:type="dxa"/>
              <w:left w:w="0" w:type="dxa"/>
              <w:bottom w:w="150" w:type="dxa"/>
              <w:right w:w="0" w:type="dxa"/>
            </w:tcMar>
            <w:hideMark/>
          </w:tcPr>
          <w:p w14:paraId="6494FF8D"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Verrucae should be covered in swimming pools, gyms and changing rooms.</w:t>
            </w:r>
          </w:p>
        </w:tc>
      </w:tr>
      <w:tr w:rsidR="005E326A" w:rsidRPr="005E326A" w14:paraId="719481B5" w14:textId="77777777" w:rsidTr="005E326A">
        <w:tc>
          <w:tcPr>
            <w:tcW w:w="0" w:type="auto"/>
            <w:tcBorders>
              <w:bottom w:val="single" w:sz="6" w:space="0" w:color="B1B4B6"/>
            </w:tcBorders>
            <w:shd w:val="clear" w:color="auto" w:fill="FFFFFF"/>
            <w:tcMar>
              <w:top w:w="150" w:type="dxa"/>
              <w:left w:w="0" w:type="dxa"/>
              <w:bottom w:w="150" w:type="dxa"/>
              <w:right w:w="300" w:type="dxa"/>
            </w:tcMar>
            <w:hideMark/>
          </w:tcPr>
          <w:p w14:paraId="3F0A9967"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Whooping cough (pertussis)*</w:t>
            </w:r>
          </w:p>
        </w:tc>
        <w:tc>
          <w:tcPr>
            <w:tcW w:w="0" w:type="auto"/>
            <w:tcBorders>
              <w:bottom w:val="single" w:sz="6" w:space="0" w:color="B1B4B6"/>
            </w:tcBorders>
            <w:shd w:val="clear" w:color="auto" w:fill="FFFFFF"/>
            <w:tcMar>
              <w:top w:w="150" w:type="dxa"/>
              <w:left w:w="0" w:type="dxa"/>
              <w:bottom w:w="150" w:type="dxa"/>
              <w:right w:w="300" w:type="dxa"/>
            </w:tcMar>
            <w:hideMark/>
          </w:tcPr>
          <w:p w14:paraId="14ABDEEF"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2 days from starting antibiotic treatment, or 21 days from onset of symptoms if no antibiotics</w:t>
            </w:r>
          </w:p>
        </w:tc>
        <w:tc>
          <w:tcPr>
            <w:tcW w:w="0" w:type="auto"/>
            <w:tcBorders>
              <w:bottom w:val="single" w:sz="6" w:space="0" w:color="B1B4B6"/>
            </w:tcBorders>
            <w:shd w:val="clear" w:color="auto" w:fill="FFFFFF"/>
            <w:tcMar>
              <w:top w:w="150" w:type="dxa"/>
              <w:left w:w="0" w:type="dxa"/>
              <w:bottom w:w="150" w:type="dxa"/>
              <w:right w:w="0" w:type="dxa"/>
            </w:tcMar>
            <w:hideMark/>
          </w:tcPr>
          <w:p w14:paraId="20943A7D" w14:textId="77777777" w:rsidR="005E326A" w:rsidRPr="005E326A" w:rsidRDefault="005E326A" w:rsidP="005E326A">
            <w:pPr>
              <w:suppressAutoHyphens w:val="0"/>
              <w:spacing w:before="450" w:after="45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Preventable by vaccination.</w:t>
            </w:r>
            <w:r w:rsidRPr="005E326A">
              <w:rPr>
                <w:rFonts w:ascii="Arial" w:eastAsia="Times New Roman" w:hAnsi="Arial" w:cs="Arial"/>
                <w:color w:val="0B0C0C"/>
                <w:sz w:val="24"/>
                <w:szCs w:val="24"/>
                <w:lang w:eastAsia="en-GB"/>
              </w:rPr>
              <w:br/>
            </w:r>
            <w:r w:rsidRPr="005E326A">
              <w:rPr>
                <w:rFonts w:ascii="Arial" w:eastAsia="Times New Roman" w:hAnsi="Arial" w:cs="Arial"/>
                <w:color w:val="0B0C0C"/>
                <w:sz w:val="24"/>
                <w:szCs w:val="24"/>
                <w:lang w:eastAsia="en-GB"/>
              </w:rPr>
              <w:br/>
              <w:t>After treatment, non-infectious coughing may continue for many weeks. Your </w:t>
            </w:r>
            <w:hyperlink r:id="rId21" w:history="1">
              <w:r w:rsidRPr="005E326A">
                <w:rPr>
                  <w:rFonts w:ascii="Arial" w:eastAsia="Times New Roman" w:hAnsi="Arial" w:cs="Arial"/>
                  <w:color w:val="1D70B8"/>
                  <w:sz w:val="24"/>
                  <w:szCs w:val="24"/>
                  <w:u w:val="single"/>
                  <w:lang w:eastAsia="en-GB"/>
                </w:rPr>
                <w:t>local UKHSA health protection team</w:t>
              </w:r>
            </w:hyperlink>
            <w:r w:rsidRPr="005E326A">
              <w:rPr>
                <w:rFonts w:ascii="Arial" w:eastAsia="Times New Roman" w:hAnsi="Arial" w:cs="Arial"/>
                <w:color w:val="0B0C0C"/>
                <w:sz w:val="24"/>
                <w:szCs w:val="24"/>
                <w:lang w:eastAsia="en-GB"/>
              </w:rPr>
              <w:t> will organise any contact tracing.</w:t>
            </w:r>
          </w:p>
        </w:tc>
      </w:tr>
    </w:tbl>
    <w:p w14:paraId="6940F4B6" w14:textId="77777777" w:rsidR="005E326A" w:rsidRPr="005E326A" w:rsidRDefault="005E326A" w:rsidP="005E326A">
      <w:pPr>
        <w:shd w:val="clear" w:color="auto" w:fill="FFFFFF"/>
        <w:suppressAutoHyphens w:val="0"/>
        <w:spacing w:before="300" w:after="30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lastRenderedPageBreak/>
        <w:t>*denotes a notifiable disease. Registered medical practitioners in England and Wales have a statutory duty to notify their local authority or UK Health Security Agency (UKHSA) health protection team (HPT) of suspected cases of certain infectious diseases.</w:t>
      </w:r>
    </w:p>
    <w:p w14:paraId="7BF8E2F9" w14:textId="77777777" w:rsidR="005E326A" w:rsidRPr="005E326A" w:rsidRDefault="005E326A" w:rsidP="005E326A">
      <w:pPr>
        <w:shd w:val="clear" w:color="auto" w:fill="FFFFFF"/>
        <w:suppressAutoHyphens w:val="0"/>
        <w:spacing w:before="300" w:after="300" w:line="240" w:lineRule="auto"/>
        <w:rPr>
          <w:rFonts w:ascii="Arial" w:eastAsia="Times New Roman" w:hAnsi="Arial" w:cs="Arial"/>
          <w:color w:val="0B0C0C"/>
          <w:sz w:val="24"/>
          <w:szCs w:val="24"/>
          <w:lang w:eastAsia="en-GB"/>
        </w:rPr>
      </w:pPr>
      <w:r w:rsidRPr="005E326A">
        <w:rPr>
          <w:rFonts w:ascii="Arial" w:eastAsia="Times New Roman" w:hAnsi="Arial" w:cs="Arial"/>
          <w:color w:val="0B0C0C"/>
          <w:sz w:val="24"/>
          <w:szCs w:val="24"/>
          <w:lang w:eastAsia="en-GB"/>
        </w:rPr>
        <w:t>All laboratories in England performing a primary diagnostic role must notify UKHSA when they confirm a notifiable organism.</w:t>
      </w:r>
    </w:p>
    <w:p w14:paraId="3ED26F59" w14:textId="77777777" w:rsidR="00390A85" w:rsidRDefault="00000000">
      <w:pPr>
        <w:rPr>
          <w:rFonts w:ascii="Arial" w:hAnsi="Arial" w:cs="Arial"/>
          <w:sz w:val="20"/>
          <w:szCs w:val="20"/>
        </w:rPr>
      </w:pPr>
      <w:r>
        <w:rPr>
          <w:rFonts w:ascii="Arial" w:hAnsi="Arial" w:cs="Arial"/>
          <w:sz w:val="20"/>
          <w:szCs w:val="20"/>
        </w:rPr>
        <w:t>Parents are requested to ensure they keep home any child who is presenting with a constant cough.and high temperature.  Any child with an unexplained cough and temperature may be sent home with the advice of taking an appropriate Covid 19 test or at least ensuring the child is fit and well before returning.</w:t>
      </w:r>
    </w:p>
    <w:p w14:paraId="2A06704A" w14:textId="77777777" w:rsidR="00390A85" w:rsidRDefault="00000000">
      <w:pPr>
        <w:rPr>
          <w:rFonts w:ascii="Arial" w:hAnsi="Arial" w:cs="Arial"/>
          <w:sz w:val="20"/>
          <w:szCs w:val="20"/>
        </w:rPr>
      </w:pPr>
      <w:r>
        <w:rPr>
          <w:rFonts w:ascii="Arial" w:hAnsi="Arial" w:cs="Arial"/>
          <w:sz w:val="20"/>
          <w:szCs w:val="20"/>
        </w:rPr>
        <w:t>Where contagious illnesses or conditions are reported to the Pre-school, notification to other parents will be made via notices and sometimes letters/emails, to inform of the presence of this.  This notification will be made as soon as is possible after the report to the Pre-school.  Please, at this point, if you suspect your child may also be showing signs of the condition, keep them at home and monitor them before returning to the setting.  This will hopefully reduce the likelihood of further contraction by other children.</w:t>
      </w:r>
    </w:p>
    <w:p w14:paraId="540EA13F" w14:textId="77777777" w:rsidR="00390A85" w:rsidRDefault="00000000">
      <w:pPr>
        <w:rPr>
          <w:rFonts w:ascii="Arial" w:hAnsi="Arial" w:cs="Arial"/>
          <w:sz w:val="20"/>
          <w:szCs w:val="20"/>
        </w:rPr>
      </w:pPr>
      <w:r>
        <w:rPr>
          <w:rFonts w:ascii="Arial" w:hAnsi="Arial" w:cs="Arial"/>
          <w:sz w:val="20"/>
          <w:szCs w:val="20"/>
        </w:rPr>
        <w:t>If you have any suspicion that your child may be carrying a contagious illness/condition, please consult with your GP or seek the advice of a Pharmacist BEFORE bringing your child to the setting.</w:t>
      </w:r>
    </w:p>
    <w:p w14:paraId="504CC9F9" w14:textId="77777777" w:rsidR="00390A85" w:rsidRDefault="00390A85">
      <w:pPr>
        <w:rPr>
          <w:rFonts w:ascii="Arial" w:hAnsi="Arial" w:cs="Arial"/>
          <w:sz w:val="20"/>
          <w:szCs w:val="20"/>
        </w:rPr>
      </w:pPr>
    </w:p>
    <w:p w14:paraId="2CED385D" w14:textId="77777777" w:rsidR="00390A85" w:rsidRDefault="00390A85">
      <w:pPr>
        <w:rPr>
          <w:rFonts w:ascii="Arial" w:hAnsi="Arial" w:cs="Arial"/>
          <w:sz w:val="20"/>
          <w:szCs w:val="20"/>
        </w:rPr>
      </w:pPr>
    </w:p>
    <w:p w14:paraId="239818A3" w14:textId="77777777" w:rsidR="00390A85" w:rsidRDefault="00000000">
      <w:pPr>
        <w:rPr>
          <w:sz w:val="24"/>
          <w:szCs w:val="24"/>
        </w:rPr>
      </w:pPr>
      <w:r>
        <w:rPr>
          <w:rFonts w:ascii="Arial" w:hAnsi="Arial" w:cs="Arial"/>
          <w:sz w:val="24"/>
          <w:szCs w:val="24"/>
        </w:rPr>
        <w:t>Implemented by the pre-school on……14.10.21…………………………………………………….</w:t>
      </w:r>
    </w:p>
    <w:p w14:paraId="1CF5D852" w14:textId="77777777" w:rsidR="00390A85" w:rsidRDefault="00000000">
      <w:pPr>
        <w:rPr>
          <w:sz w:val="24"/>
          <w:szCs w:val="24"/>
        </w:rPr>
      </w:pPr>
      <w:r>
        <w:rPr>
          <w:rFonts w:ascii="Arial" w:hAnsi="Arial" w:cs="Arial"/>
          <w:sz w:val="24"/>
          <w:szCs w:val="24"/>
        </w:rPr>
        <w:t>Signed and adopted on behalf of the pre-school by…Zena Jewitt……………………………………</w:t>
      </w:r>
    </w:p>
    <w:p w14:paraId="1E78709F" w14:textId="77777777" w:rsidR="00390A85" w:rsidRDefault="00390A85">
      <w:pPr>
        <w:rPr>
          <w:rFonts w:ascii="Arial" w:hAnsi="Arial" w:cs="Arial"/>
          <w:sz w:val="24"/>
          <w:szCs w:val="24"/>
        </w:rPr>
      </w:pPr>
    </w:p>
    <w:p w14:paraId="7C2FDAFC" w14:textId="77777777" w:rsidR="005E326A" w:rsidRDefault="005E326A">
      <w:pPr>
        <w:widowControl w:val="0"/>
        <w:spacing w:before="10" w:after="0" w:line="240" w:lineRule="auto"/>
        <w:rPr>
          <w:rFonts w:ascii="Arial" w:eastAsia="Arial" w:hAnsi="Arial" w:cs="Arial"/>
          <w:sz w:val="24"/>
          <w:szCs w:val="24"/>
          <w:lang w:val="en-US"/>
        </w:rPr>
      </w:pPr>
    </w:p>
    <w:p w14:paraId="7F89AA15" w14:textId="77777777" w:rsidR="005E326A" w:rsidRDefault="005E326A">
      <w:pPr>
        <w:widowControl w:val="0"/>
        <w:spacing w:before="10" w:after="0" w:line="240" w:lineRule="auto"/>
        <w:rPr>
          <w:rFonts w:ascii="Arial" w:eastAsia="Arial" w:hAnsi="Arial" w:cs="Arial"/>
          <w:sz w:val="24"/>
          <w:szCs w:val="24"/>
          <w:lang w:val="en-US"/>
        </w:rPr>
      </w:pPr>
    </w:p>
    <w:p w14:paraId="0D854B66" w14:textId="5A78E71D" w:rsidR="00390A85" w:rsidRDefault="00000000">
      <w:pPr>
        <w:widowControl w:val="0"/>
        <w:spacing w:before="10" w:after="0" w:line="240" w:lineRule="auto"/>
        <w:rPr>
          <w:sz w:val="24"/>
          <w:szCs w:val="24"/>
        </w:rPr>
      </w:pPr>
      <w:r>
        <w:rPr>
          <w:rFonts w:ascii="Arial" w:eastAsia="Arial" w:hAnsi="Arial" w:cs="Arial"/>
          <w:sz w:val="24"/>
          <w:szCs w:val="24"/>
          <w:lang w:val="en-US"/>
        </w:rPr>
        <w:t>Date to be reviewed……Sept 21……….  Reviewed by………DA…..  Date……5.9.21…………</w:t>
      </w:r>
    </w:p>
    <w:p w14:paraId="4DAA2E0B" w14:textId="77777777" w:rsidR="00390A85" w:rsidRDefault="00390A85">
      <w:pPr>
        <w:widowControl w:val="0"/>
        <w:spacing w:before="10" w:after="0" w:line="240" w:lineRule="auto"/>
        <w:rPr>
          <w:rFonts w:ascii="Arial" w:eastAsia="Arial" w:hAnsi="Arial" w:cs="Arial"/>
          <w:sz w:val="24"/>
          <w:szCs w:val="24"/>
          <w:lang w:val="en-US"/>
        </w:rPr>
      </w:pPr>
    </w:p>
    <w:p w14:paraId="14B5395C" w14:textId="7D914239" w:rsidR="00390A85" w:rsidRDefault="00000000">
      <w:pPr>
        <w:widowControl w:val="0"/>
        <w:spacing w:before="10" w:after="0" w:line="240" w:lineRule="auto"/>
        <w:rPr>
          <w:sz w:val="24"/>
          <w:szCs w:val="24"/>
        </w:rPr>
      </w:pPr>
      <w:r>
        <w:rPr>
          <w:rFonts w:ascii="Arial" w:eastAsia="Arial" w:hAnsi="Arial" w:cs="Arial"/>
          <w:sz w:val="24"/>
          <w:szCs w:val="24"/>
          <w:lang w:val="en-US"/>
        </w:rPr>
        <w:t>Actions required…Hand foo</w:t>
      </w:r>
      <w:r w:rsidR="005E326A">
        <w:rPr>
          <w:rFonts w:ascii="Arial" w:eastAsia="Arial" w:hAnsi="Arial" w:cs="Arial"/>
          <w:sz w:val="24"/>
          <w:szCs w:val="24"/>
          <w:lang w:val="en-US"/>
        </w:rPr>
        <w:t>t</w:t>
      </w:r>
      <w:r>
        <w:rPr>
          <w:rFonts w:ascii="Arial" w:eastAsia="Arial" w:hAnsi="Arial" w:cs="Arial"/>
          <w:sz w:val="24"/>
          <w:szCs w:val="24"/>
          <w:lang w:val="en-US"/>
        </w:rPr>
        <w:t xml:space="preserve"> and mouth was added with information from NHS on-line as guidance – information on Covid 19 added   ………………………………………………..</w:t>
      </w:r>
    </w:p>
    <w:p w14:paraId="07663E57" w14:textId="77777777" w:rsidR="00390A85" w:rsidRDefault="00390A85">
      <w:pPr>
        <w:spacing w:line="240" w:lineRule="auto"/>
        <w:rPr>
          <w:rFonts w:ascii="Arial" w:hAnsi="Arial" w:cs="Arial"/>
          <w:sz w:val="24"/>
          <w:szCs w:val="24"/>
        </w:rPr>
      </w:pPr>
    </w:p>
    <w:p w14:paraId="787240C1" w14:textId="1090B9A2" w:rsidR="00390A85" w:rsidRDefault="00000000">
      <w:pPr>
        <w:spacing w:before="10" w:line="240" w:lineRule="auto"/>
        <w:rPr>
          <w:sz w:val="24"/>
          <w:szCs w:val="24"/>
        </w:rPr>
      </w:pPr>
      <w:r>
        <w:rPr>
          <w:rFonts w:ascii="Arial" w:eastAsia="Arial" w:hAnsi="Arial" w:cs="Arial"/>
          <w:sz w:val="24"/>
          <w:szCs w:val="24"/>
        </w:rPr>
        <w:t>Date to be reviewed…Sept 22…  Reviewed by…ZJ and DA………..  Date 09.09.22…..</w:t>
      </w:r>
    </w:p>
    <w:p w14:paraId="522B324F" w14:textId="4E794FD4" w:rsidR="00390A85" w:rsidRDefault="00000000">
      <w:pPr>
        <w:rPr>
          <w:sz w:val="24"/>
          <w:szCs w:val="24"/>
        </w:rPr>
      </w:pPr>
      <w:r>
        <w:rPr>
          <w:rFonts w:ascii="Arial" w:eastAsia="Arial" w:hAnsi="Arial" w:cs="Arial"/>
          <w:sz w:val="24"/>
          <w:szCs w:val="24"/>
        </w:rPr>
        <w:t xml:space="preserve">Actions required……Covid and other respiratory diseases – information changed </w:t>
      </w:r>
    </w:p>
    <w:p w14:paraId="5E35E6D3" w14:textId="77777777" w:rsidR="00390A85" w:rsidRDefault="00390A85">
      <w:pPr>
        <w:widowControl w:val="0"/>
        <w:spacing w:after="0"/>
        <w:rPr>
          <w:rFonts w:ascii="Arial" w:hAnsi="Arial" w:cs="Arial"/>
          <w:sz w:val="24"/>
          <w:szCs w:val="24"/>
        </w:rPr>
      </w:pPr>
    </w:p>
    <w:p w14:paraId="54E51C98" w14:textId="1A6D326F" w:rsidR="00390A85" w:rsidRDefault="00000000">
      <w:pPr>
        <w:rPr>
          <w:sz w:val="24"/>
          <w:szCs w:val="24"/>
        </w:rPr>
      </w:pPr>
      <w:bookmarkStart w:id="0" w:name="_Hlk150173273"/>
      <w:r>
        <w:rPr>
          <w:rFonts w:ascii="Arial" w:eastAsia="Arial" w:hAnsi="Arial" w:cs="Arial"/>
          <w:sz w:val="24"/>
          <w:szCs w:val="24"/>
        </w:rPr>
        <w:t>Date to be reviewed…Sept 23……  Reviewed by…Committee………… Date reviewed: 01.02.23</w:t>
      </w:r>
    </w:p>
    <w:p w14:paraId="7486DB4B" w14:textId="77777777" w:rsidR="00390A85" w:rsidRDefault="00000000">
      <w:pPr>
        <w:spacing w:after="200"/>
        <w:rPr>
          <w:sz w:val="24"/>
          <w:szCs w:val="24"/>
        </w:rPr>
      </w:pPr>
      <w:r>
        <w:rPr>
          <w:rFonts w:ascii="Arial" w:eastAsia="Arial" w:hAnsi="Arial" w:cs="Arial"/>
          <w:sz w:val="24"/>
          <w:szCs w:val="24"/>
        </w:rPr>
        <w:t>Actions required…Updated COVID paragraph………………………………………………..</w:t>
      </w:r>
    </w:p>
    <w:p w14:paraId="7497B18C" w14:textId="77777777" w:rsidR="00390A85" w:rsidRDefault="00390A85">
      <w:pPr>
        <w:spacing w:after="200"/>
        <w:rPr>
          <w:rFonts w:ascii="Arial" w:hAnsi="Arial" w:cs="Arial"/>
          <w:sz w:val="24"/>
          <w:szCs w:val="24"/>
        </w:rPr>
      </w:pPr>
    </w:p>
    <w:bookmarkEnd w:id="0"/>
    <w:p w14:paraId="7A8337E0" w14:textId="651ECE8C" w:rsidR="00390A85" w:rsidRDefault="00000000">
      <w:pPr>
        <w:rPr>
          <w:sz w:val="24"/>
          <w:szCs w:val="24"/>
        </w:rPr>
      </w:pPr>
      <w:r>
        <w:rPr>
          <w:rFonts w:ascii="Arial" w:eastAsia="Arial" w:hAnsi="Arial" w:cs="Arial"/>
          <w:sz w:val="24"/>
          <w:szCs w:val="24"/>
        </w:rPr>
        <w:t>Date to be reviewed…Sept 23…  Reviewed by…Committee…… Date reviewed: 26.04.23</w:t>
      </w:r>
    </w:p>
    <w:p w14:paraId="17037B7F" w14:textId="77777777" w:rsidR="00390A85" w:rsidRDefault="00000000">
      <w:pPr>
        <w:spacing w:after="200"/>
        <w:rPr>
          <w:rFonts w:ascii="Arial" w:eastAsia="Arial" w:hAnsi="Arial" w:cs="Arial"/>
          <w:sz w:val="24"/>
          <w:szCs w:val="24"/>
        </w:rPr>
      </w:pPr>
      <w:r>
        <w:rPr>
          <w:rFonts w:ascii="Arial" w:eastAsia="Arial" w:hAnsi="Arial" w:cs="Arial"/>
          <w:noProof/>
          <w:sz w:val="24"/>
          <w:szCs w:val="24"/>
        </w:rPr>
        <w:drawing>
          <wp:anchor distT="0" distB="0" distL="0" distR="0" simplePos="0" relativeHeight="2" behindDoc="0" locked="0" layoutInCell="0" allowOverlap="1" wp14:anchorId="7BA578FF" wp14:editId="161FC1E1">
            <wp:simplePos x="0" y="0"/>
            <wp:positionH relativeFrom="column">
              <wp:posOffset>5205730</wp:posOffset>
            </wp:positionH>
            <wp:positionV relativeFrom="paragraph">
              <wp:posOffset>-87630</wp:posOffset>
            </wp:positionV>
            <wp:extent cx="837565" cy="40068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2"/>
                    <a:stretch>
                      <a:fillRect/>
                    </a:stretch>
                  </pic:blipFill>
                  <pic:spPr bwMode="auto">
                    <a:xfrm>
                      <a:off x="0" y="0"/>
                      <a:ext cx="837565" cy="400685"/>
                    </a:xfrm>
                    <a:prstGeom prst="rect">
                      <a:avLst/>
                    </a:prstGeom>
                  </pic:spPr>
                </pic:pic>
              </a:graphicData>
            </a:graphic>
          </wp:anchor>
        </w:drawing>
      </w:r>
      <w:r>
        <w:rPr>
          <w:rFonts w:ascii="Arial" w:eastAsia="Arial" w:hAnsi="Arial" w:cs="Arial"/>
          <w:sz w:val="24"/>
          <w:szCs w:val="24"/>
        </w:rPr>
        <w:t>Actions required…………………………………………………..</w:t>
      </w:r>
    </w:p>
    <w:p w14:paraId="07CA10D1" w14:textId="77777777" w:rsidR="005E326A" w:rsidRDefault="005E326A">
      <w:pPr>
        <w:spacing w:after="200"/>
        <w:rPr>
          <w:rFonts w:ascii="Arial" w:eastAsia="Arial" w:hAnsi="Arial" w:cs="Arial"/>
          <w:sz w:val="24"/>
          <w:szCs w:val="24"/>
        </w:rPr>
      </w:pPr>
    </w:p>
    <w:p w14:paraId="209400AD" w14:textId="38D6C78A" w:rsidR="005E326A" w:rsidRDefault="005E326A" w:rsidP="005E326A">
      <w:pPr>
        <w:rPr>
          <w:sz w:val="24"/>
          <w:szCs w:val="24"/>
        </w:rPr>
      </w:pPr>
      <w:r>
        <w:rPr>
          <w:rFonts w:ascii="Arial" w:eastAsia="Arial" w:hAnsi="Arial" w:cs="Arial"/>
          <w:sz w:val="24"/>
          <w:szCs w:val="24"/>
        </w:rPr>
        <w:t>Date to be reviewed……</w:t>
      </w:r>
      <w:r w:rsidR="00C80ADF">
        <w:rPr>
          <w:rFonts w:ascii="Arial" w:eastAsia="Arial" w:hAnsi="Arial" w:cs="Arial"/>
          <w:sz w:val="24"/>
          <w:szCs w:val="24"/>
        </w:rPr>
        <w:t>Oct 23</w:t>
      </w:r>
      <w:r>
        <w:rPr>
          <w:rFonts w:ascii="Arial" w:eastAsia="Arial" w:hAnsi="Arial" w:cs="Arial"/>
          <w:sz w:val="24"/>
          <w:szCs w:val="24"/>
        </w:rPr>
        <w:t>………  Reviewed by…</w:t>
      </w:r>
      <w:r>
        <w:rPr>
          <w:rFonts w:ascii="Arial" w:eastAsia="Arial" w:hAnsi="Arial" w:cs="Arial"/>
          <w:sz w:val="24"/>
          <w:szCs w:val="24"/>
        </w:rPr>
        <w:t>DA</w:t>
      </w:r>
      <w:r>
        <w:rPr>
          <w:rFonts w:ascii="Arial" w:eastAsia="Arial" w:hAnsi="Arial" w:cs="Arial"/>
          <w:sz w:val="24"/>
          <w:szCs w:val="24"/>
        </w:rPr>
        <w:t xml:space="preserve">………… Date reviewed: </w:t>
      </w:r>
      <w:r>
        <w:rPr>
          <w:rFonts w:ascii="Arial" w:eastAsia="Arial" w:hAnsi="Arial" w:cs="Arial"/>
          <w:sz w:val="24"/>
          <w:szCs w:val="24"/>
        </w:rPr>
        <w:t>07.11</w:t>
      </w:r>
      <w:r>
        <w:rPr>
          <w:rFonts w:ascii="Arial" w:eastAsia="Arial" w:hAnsi="Arial" w:cs="Arial"/>
          <w:sz w:val="24"/>
          <w:szCs w:val="24"/>
        </w:rPr>
        <w:t>.23</w:t>
      </w:r>
    </w:p>
    <w:p w14:paraId="0EE121A0" w14:textId="2A3DF346" w:rsidR="005E326A" w:rsidRDefault="005E326A" w:rsidP="005E326A">
      <w:pPr>
        <w:spacing w:after="200"/>
        <w:rPr>
          <w:sz w:val="24"/>
          <w:szCs w:val="24"/>
        </w:rPr>
      </w:pPr>
      <w:r>
        <w:rPr>
          <w:rFonts w:ascii="Arial" w:eastAsia="Arial" w:hAnsi="Arial" w:cs="Arial"/>
          <w:sz w:val="24"/>
          <w:szCs w:val="24"/>
        </w:rPr>
        <w:t>Actions required…</w:t>
      </w:r>
      <w:r>
        <w:rPr>
          <w:rFonts w:ascii="Arial" w:eastAsia="Arial" w:hAnsi="Arial" w:cs="Arial"/>
          <w:sz w:val="24"/>
          <w:szCs w:val="24"/>
        </w:rPr>
        <w:t xml:space="preserve">UKHSA guidance (Oct 23) used to replace current exclusions table </w:t>
      </w:r>
      <w:r>
        <w:rPr>
          <w:sz w:val="24"/>
          <w:szCs w:val="24"/>
        </w:rPr>
        <w:t>.</w:t>
      </w:r>
    </w:p>
    <w:p w14:paraId="5532DD3F" w14:textId="77777777" w:rsidR="00C80ADF" w:rsidRPr="005E326A" w:rsidRDefault="00C80ADF" w:rsidP="005E326A">
      <w:pPr>
        <w:spacing w:after="200"/>
        <w:rPr>
          <w:sz w:val="24"/>
          <w:szCs w:val="24"/>
        </w:rPr>
      </w:pPr>
    </w:p>
    <w:p w14:paraId="3C3DB9E3" w14:textId="77777777" w:rsidR="005E326A" w:rsidRDefault="005E326A">
      <w:pPr>
        <w:spacing w:after="200"/>
        <w:rPr>
          <w:sz w:val="24"/>
          <w:szCs w:val="24"/>
        </w:rPr>
      </w:pPr>
    </w:p>
    <w:sectPr w:rsidR="005E326A">
      <w:footerReference w:type="default" r:id="rId23"/>
      <w:pgSz w:w="11906" w:h="16838"/>
      <w:pgMar w:top="720" w:right="720" w:bottom="765" w:left="72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AB901" w14:textId="77777777" w:rsidR="00207F66" w:rsidRDefault="00207F66">
      <w:pPr>
        <w:spacing w:after="0" w:line="240" w:lineRule="auto"/>
      </w:pPr>
      <w:r>
        <w:separator/>
      </w:r>
    </w:p>
  </w:endnote>
  <w:endnote w:type="continuationSeparator" w:id="0">
    <w:p w14:paraId="7C1DD328" w14:textId="77777777" w:rsidR="00207F66" w:rsidRDefault="00207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6182" w14:textId="77777777" w:rsidR="00390A85" w:rsidRDefault="00000000">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sz w:val="24"/>
        <w:szCs w:val="24"/>
      </w:rPr>
      <w:instrText xml:space="preserve"> PAGE </w:instrText>
    </w:r>
    <w:r>
      <w:rPr>
        <w:color w:val="323E4F"/>
        <w:sz w:val="24"/>
        <w:szCs w:val="24"/>
      </w:rPr>
      <w:fldChar w:fldCharType="separate"/>
    </w:r>
    <w:r>
      <w:rPr>
        <w:color w:val="323E4F"/>
        <w:sz w:val="24"/>
        <w:szCs w:val="24"/>
      </w:rPr>
      <w:t>1</w:t>
    </w:r>
    <w:r>
      <w:rPr>
        <w:color w:val="323E4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sz w:val="24"/>
        <w:szCs w:val="24"/>
      </w:rPr>
      <w:instrText xml:space="preserve"> NUMPAGES \* ARABIC </w:instrText>
    </w:r>
    <w:r>
      <w:rPr>
        <w:color w:val="323E4F"/>
        <w:sz w:val="24"/>
        <w:szCs w:val="24"/>
      </w:rPr>
      <w:fldChar w:fldCharType="separate"/>
    </w:r>
    <w:r>
      <w:rPr>
        <w:color w:val="323E4F"/>
        <w:sz w:val="24"/>
        <w:szCs w:val="24"/>
      </w:rPr>
      <w:t>2</w:t>
    </w:r>
    <w:r>
      <w:rPr>
        <w:color w:val="323E4F"/>
        <w:sz w:val="24"/>
        <w:szCs w:val="24"/>
      </w:rPr>
      <w:fldChar w:fldCharType="end"/>
    </w:r>
  </w:p>
  <w:p w14:paraId="30C37CB6" w14:textId="77777777" w:rsidR="00390A85" w:rsidRDefault="00000000">
    <w:pPr>
      <w:pStyle w:val="Footer"/>
    </w:pPr>
    <w:r>
      <w:t>Health &amp; Sickness Policy Version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03E6" w14:textId="77777777" w:rsidR="00207F66" w:rsidRDefault="00207F66">
      <w:pPr>
        <w:spacing w:after="0" w:line="240" w:lineRule="auto"/>
      </w:pPr>
      <w:r>
        <w:separator/>
      </w:r>
    </w:p>
  </w:footnote>
  <w:footnote w:type="continuationSeparator" w:id="0">
    <w:p w14:paraId="6EFEB51E" w14:textId="77777777" w:rsidR="00207F66" w:rsidRDefault="00207F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85"/>
    <w:rsid w:val="00207F66"/>
    <w:rsid w:val="00317D12"/>
    <w:rsid w:val="00390A85"/>
    <w:rsid w:val="005E326A"/>
    <w:rsid w:val="00C80AD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A16A"/>
  <w15:docId w15:val="{90D4F69E-FD1E-4156-8442-3A33BA3C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B6FAB"/>
  </w:style>
  <w:style w:type="character" w:customStyle="1" w:styleId="FooterChar">
    <w:name w:val="Footer Char"/>
    <w:basedOn w:val="DefaultParagraphFont"/>
    <w:link w:val="Footer"/>
    <w:uiPriority w:val="99"/>
    <w:qFormat/>
    <w:rsid w:val="006B6FAB"/>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lang/>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B6FAB"/>
    <w:pPr>
      <w:tabs>
        <w:tab w:val="center" w:pos="4513"/>
        <w:tab w:val="right" w:pos="9026"/>
      </w:tabs>
      <w:spacing w:after="0" w:line="240" w:lineRule="auto"/>
    </w:pPr>
  </w:style>
  <w:style w:type="paragraph" w:styleId="Footer">
    <w:name w:val="footer"/>
    <w:basedOn w:val="Normal"/>
    <w:link w:val="FooterChar"/>
    <w:uiPriority w:val="99"/>
    <w:unhideWhenUsed/>
    <w:rsid w:val="006B6FAB"/>
    <w:pPr>
      <w:tabs>
        <w:tab w:val="center" w:pos="4513"/>
        <w:tab w:val="right" w:pos="9026"/>
      </w:tabs>
      <w:spacing w:after="0" w:line="240" w:lineRule="auto"/>
    </w:pPr>
  </w:style>
  <w:style w:type="table" w:styleId="TableGrid">
    <w:name w:val="Table Grid"/>
    <w:basedOn w:val="TableNormal"/>
    <w:uiPriority w:val="39"/>
    <w:rsid w:val="002F1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049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health-protection-team" TargetMode="External"/><Relationship Id="rId13" Type="http://schemas.openxmlformats.org/officeDocument/2006/relationships/hyperlink" Target="https://www.gov.uk/health-protection-team" TargetMode="External"/><Relationship Id="rId18" Type="http://schemas.openxmlformats.org/officeDocument/2006/relationships/hyperlink" Target="https://www.gov.uk/health-protection-team" TargetMode="External"/><Relationship Id="rId3" Type="http://schemas.openxmlformats.org/officeDocument/2006/relationships/webSettings" Target="webSettings.xml"/><Relationship Id="rId21" Type="http://schemas.openxmlformats.org/officeDocument/2006/relationships/hyperlink" Target="https://www.gov.uk/health-protection-team" TargetMode="External"/><Relationship Id="rId7" Type="http://schemas.openxmlformats.org/officeDocument/2006/relationships/hyperlink" Target="https://www.gov.uk/government/publications/health-protection-in-schools-and-other-childcare-facilities/managing-outbreaks-and-incidents" TargetMode="External"/><Relationship Id="rId12" Type="http://schemas.openxmlformats.org/officeDocument/2006/relationships/hyperlink" Target="https://www.gov.uk/health-protection-team" TargetMode="External"/><Relationship Id="rId17" Type="http://schemas.openxmlformats.org/officeDocument/2006/relationships/hyperlink" Target="https://www.gov.uk/health-protection-tea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ov.uk/health-protection-team" TargetMode="External"/><Relationship Id="rId20" Type="http://schemas.openxmlformats.org/officeDocument/2006/relationships/hyperlink" Target="https://www.gov.uk/health-protection-team" TargetMode="External"/><Relationship Id="rId1" Type="http://schemas.openxmlformats.org/officeDocument/2006/relationships/styles" Target="styles.xml"/><Relationship Id="rId6" Type="http://schemas.openxmlformats.org/officeDocument/2006/relationships/hyperlink" Target="https://www.gov.uk/health-protection-team" TargetMode="External"/><Relationship Id="rId11" Type="http://schemas.openxmlformats.org/officeDocument/2006/relationships/hyperlink" Target="https://www.gov.uk/government/publications/health-protection-in-schools-and-other-childcare-facilities/managing-outbreaks-and-incidents"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gov.uk/health-protection-team" TargetMode="External"/><Relationship Id="rId23" Type="http://schemas.openxmlformats.org/officeDocument/2006/relationships/footer" Target="footer1.xml"/><Relationship Id="rId10" Type="http://schemas.openxmlformats.org/officeDocument/2006/relationships/hyperlink" Target="https://www.gov.uk/health-protection-team" TargetMode="External"/><Relationship Id="rId19" Type="http://schemas.openxmlformats.org/officeDocument/2006/relationships/hyperlink" Target="https://www.gov.uk/health-protection-team" TargetMode="External"/><Relationship Id="rId4" Type="http://schemas.openxmlformats.org/officeDocument/2006/relationships/footnotes" Target="footnotes.xml"/><Relationship Id="rId9" Type="http://schemas.openxmlformats.org/officeDocument/2006/relationships/hyperlink" Target="https://www.gov.uk/health-protection-team" TargetMode="External"/><Relationship Id="rId14" Type="http://schemas.openxmlformats.org/officeDocument/2006/relationships/hyperlink" Target="https://www.gov.uk/health-protection-team" TargetMode="Externa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Deb Aconley</cp:lastModifiedBy>
  <cp:revision>15</cp:revision>
  <dcterms:created xsi:type="dcterms:W3CDTF">2021-02-05T10:07:00Z</dcterms:created>
  <dcterms:modified xsi:type="dcterms:W3CDTF">2023-11-06T14:35:00Z</dcterms:modified>
  <dc:language>en-GB</dc:language>
</cp:coreProperties>
</file>